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96" w:rsidRPr="005521A0" w:rsidRDefault="00575A96" w:rsidP="00F23931">
      <w:pPr>
        <w:spacing w:after="0"/>
      </w:pPr>
      <w:bookmarkStart w:id="0" w:name="block-453494"/>
    </w:p>
    <w:tbl>
      <w:tblPr>
        <w:tblW w:w="14883" w:type="dxa"/>
        <w:tblInd w:w="534" w:type="dxa"/>
        <w:tblLook w:val="04A0"/>
      </w:tblPr>
      <w:tblGrid>
        <w:gridCol w:w="14883"/>
      </w:tblGrid>
      <w:tr w:rsidR="00AE0BCE" w:rsidRPr="00E2220E" w:rsidTr="00674537">
        <w:trPr>
          <w:trHeight w:val="80"/>
        </w:trPr>
        <w:tc>
          <w:tcPr>
            <w:tcW w:w="14883" w:type="dxa"/>
          </w:tcPr>
          <w:p w:rsidR="00AE0BCE" w:rsidRPr="00AE0BCE" w:rsidRDefault="00AE0BCE" w:rsidP="00FA4E5A">
            <w:pPr>
              <w:spacing w:after="0" w:line="40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                             </w:t>
            </w: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bookmarkStart w:id="1" w:name="f82fad9e-4303-40e0-b615-d8bb07699b65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Министерство образования и науки Республики Дагестан</w:t>
            </w:r>
            <w:bookmarkEnd w:id="1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‌‌ </w:t>
            </w: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bookmarkStart w:id="2" w:name="f11d21d1-8bec-4df3-85d2-f4d0bca3e7ae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образования МР " Кизлярский район"</w:t>
            </w:r>
            <w:bookmarkEnd w:id="2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r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AE0BCE" w:rsidRPr="00AE0BCE" w:rsidRDefault="00AE0BCE" w:rsidP="003B0E43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МКОУ "</w:t>
            </w:r>
            <w:proofErr w:type="spellStart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Краснооктябрьская</w:t>
            </w:r>
            <w:proofErr w:type="spellEnd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имени Р.Гамзатова "</w:t>
            </w:r>
          </w:p>
          <w:p w:rsidR="00AE0BCE" w:rsidRPr="00AE0BCE" w:rsidRDefault="00AE0BCE" w:rsidP="00692B1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E" w:rsidRPr="00AE0BCE" w:rsidRDefault="00AE0BCE" w:rsidP="00692B1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734" w:type="dxa"/>
              <w:tblLook w:val="04A0"/>
            </w:tblPr>
            <w:tblGrid>
              <w:gridCol w:w="3096"/>
              <w:gridCol w:w="3115"/>
              <w:gridCol w:w="3115"/>
            </w:tblGrid>
            <w:tr w:rsidR="00AE0BCE" w:rsidRPr="00AE0BCE" w:rsidTr="003B0E43">
              <w:trPr>
                <w:trHeight w:val="3007"/>
              </w:trPr>
              <w:tc>
                <w:tcPr>
                  <w:tcW w:w="2104" w:type="dxa"/>
                </w:tcPr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ШМО начальных классов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Агапова Е.Н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№1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«29» 08   2023 г.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5" w:type="dxa"/>
                </w:tcPr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 по УВР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Кленкова</w:t>
                  </w:r>
                  <w:proofErr w:type="spellEnd"/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«30» 08   2023 г.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5" w:type="dxa"/>
                </w:tcPr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Исмаилов Г.А.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 №45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«30» 08   2023 г.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E0BCE" w:rsidRPr="00AE0BCE" w:rsidRDefault="00AE0BCE" w:rsidP="00692B1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  <w:p w:rsidR="00AE0BCE" w:rsidRPr="00AE0BCE" w:rsidRDefault="00AE0BCE" w:rsidP="003B0E43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(ID 1904678)</w:t>
            </w: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учебного предмета «Литературное чтение»</w:t>
            </w:r>
          </w:p>
          <w:p w:rsidR="00AE0BCE" w:rsidRPr="00AE0BCE" w:rsidRDefault="00AE0BCE" w:rsidP="003B0E43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обучающихся 1а класса</w:t>
            </w:r>
          </w:p>
          <w:p w:rsidR="00AE0BCE" w:rsidRPr="00AE0BCE" w:rsidRDefault="00AE0BCE" w:rsidP="00692B10">
            <w:pPr>
              <w:spacing w:after="0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3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>Составила:учитель</w:t>
            </w:r>
            <w:proofErr w:type="spellEnd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 </w:t>
            </w:r>
          </w:p>
          <w:p w:rsidR="00AE0BCE" w:rsidRPr="00AE0BCE" w:rsidRDefault="00AE0BCE" w:rsidP="00692B10">
            <w:pPr>
              <w:spacing w:after="0"/>
              <w:ind w:left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3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>Ханалиева</w:t>
            </w:r>
            <w:proofErr w:type="spellEnd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Д.И.</w:t>
            </w:r>
          </w:p>
          <w:p w:rsidR="00674537" w:rsidRDefault="00674537" w:rsidP="00674537">
            <w:pPr>
              <w:spacing w:after="0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8f40cabc-1e83-4907-ad8f-f4ef8375b8cd"/>
          </w:p>
          <w:p w:rsidR="00674537" w:rsidRPr="00AE0BCE" w:rsidRDefault="00674537" w:rsidP="00674537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с.Краснооктябрьское</w:t>
            </w:r>
            <w:proofErr w:type="spellEnd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bookmarkEnd w:id="3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‌ </w:t>
            </w:r>
            <w:bookmarkStart w:id="4" w:name="30574bb6-69b4-4b7b-a313-5bac59a2fd6c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  <w:bookmarkEnd w:id="4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r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674537" w:rsidRPr="00AE0BCE" w:rsidRDefault="00674537" w:rsidP="00692B1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E" w:rsidRPr="00AE0BCE" w:rsidRDefault="00AE0BCE" w:rsidP="00692B1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E" w:rsidRPr="003B0E43" w:rsidRDefault="00AE0BCE" w:rsidP="00674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0BCE" w:rsidRDefault="00AE0BCE" w:rsidP="00575A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83866" w:rsidRPr="00F23931" w:rsidRDefault="003C75FA" w:rsidP="00575A96">
      <w:p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83866" w:rsidRPr="00F23931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23931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F23931">
        <w:rPr>
          <w:rFonts w:ascii="Times New Roman" w:hAnsi="Times New Roman"/>
          <w:color w:val="000000"/>
          <w:sz w:val="24"/>
          <w:szCs w:val="24"/>
        </w:rPr>
        <w:t>программе воспитания.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общедидактические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представленность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23931">
        <w:rPr>
          <w:rFonts w:ascii="Times New Roman" w:hAnsi="Times New Roman"/>
          <w:color w:val="FF0000"/>
          <w:sz w:val="24"/>
          <w:szCs w:val="24"/>
        </w:rPr>
        <w:t>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представленность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83866" w:rsidRPr="00F23931" w:rsidRDefault="00383866" w:rsidP="00F23931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83866" w:rsidRPr="00F23931" w:rsidRDefault="00383866" w:rsidP="00F23931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На литературное чтение в 1 классе отводится 99 часа (из них ‌</w:t>
      </w:r>
      <w:bookmarkStart w:id="5" w:name="ddec985a-8145-4835-94dd-4cab4866d4ad"/>
      <w:r w:rsidRPr="00F23931">
        <w:rPr>
          <w:rFonts w:ascii="Times New Roman" w:hAnsi="Times New Roman"/>
          <w:color w:val="000000"/>
          <w:sz w:val="24"/>
          <w:szCs w:val="24"/>
        </w:rPr>
        <w:t>не менее 70 часов</w:t>
      </w:r>
      <w:bookmarkEnd w:id="5"/>
      <w:r w:rsidRPr="00F23931">
        <w:rPr>
          <w:rFonts w:ascii="Times New Roman" w:hAnsi="Times New Roman"/>
          <w:color w:val="000000"/>
          <w:sz w:val="24"/>
          <w:szCs w:val="24"/>
        </w:rPr>
        <w:t>‌ составляет вводный интегрированный учебный курс «Обучение грамоте»), во 2-4 классах по 102 часов (3 часа в неделю в каждом классе).</w:t>
      </w:r>
    </w:p>
    <w:bookmarkEnd w:id="0"/>
    <w:p w:rsidR="00383866" w:rsidRPr="00F23931" w:rsidRDefault="00383866" w:rsidP="00383866">
      <w:p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333333"/>
          <w:sz w:val="24"/>
          <w:szCs w:val="24"/>
        </w:rPr>
        <w:t xml:space="preserve">ПЛАНИРУЕМЫЕ </w:t>
      </w:r>
      <w:r w:rsidRPr="00F23931"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ОБРАЗОВАТЕЛЬНЫЕ </w:t>
      </w:r>
      <w:r w:rsidRPr="00F23931">
        <w:rPr>
          <w:rFonts w:ascii="Times New Roman" w:hAnsi="Times New Roman"/>
          <w:b/>
          <w:color w:val="333333"/>
          <w:sz w:val="24"/>
          <w:szCs w:val="24"/>
        </w:rPr>
        <w:t>РЕЗУЛЬТАТЫ</w:t>
      </w:r>
    </w:p>
    <w:p w:rsidR="00383866" w:rsidRPr="00F23931" w:rsidRDefault="00383866" w:rsidP="00F23931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социокультурным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lastRenderedPageBreak/>
        <w:t>Гражданско-патриотическое воспитание:</w:t>
      </w:r>
    </w:p>
    <w:p w:rsidR="00383866" w:rsidRPr="00F23931" w:rsidRDefault="00383866" w:rsidP="0038386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83866" w:rsidRPr="00F23931" w:rsidRDefault="00383866" w:rsidP="0038386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83866" w:rsidRPr="00F23931" w:rsidRDefault="00383866" w:rsidP="00F2393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383866" w:rsidRPr="00F23931" w:rsidRDefault="00383866" w:rsidP="0038386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83866" w:rsidRPr="00F23931" w:rsidRDefault="00383866" w:rsidP="0038386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83866" w:rsidRPr="00F23931" w:rsidRDefault="00383866" w:rsidP="0038386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Трудовое воспитание:</w:t>
      </w:r>
    </w:p>
    <w:p w:rsidR="00383866" w:rsidRPr="00F23931" w:rsidRDefault="00383866" w:rsidP="0038386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воспитание:</w:t>
      </w:r>
    </w:p>
    <w:p w:rsidR="00383866" w:rsidRPr="00F23931" w:rsidRDefault="00383866" w:rsidP="0038386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83866" w:rsidRPr="00F23931" w:rsidRDefault="00383866" w:rsidP="0038386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неприятие действий, приносящих ей вред.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383866" w:rsidRPr="00F23931" w:rsidRDefault="00383866" w:rsidP="0038386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83866" w:rsidRPr="00F23931" w:rsidRDefault="00383866" w:rsidP="0038386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383866" w:rsidRPr="00F23931" w:rsidRDefault="00383866" w:rsidP="00F2393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383866" w:rsidRPr="00F23931" w:rsidRDefault="00383866" w:rsidP="0038386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83866" w:rsidRPr="00F23931" w:rsidRDefault="00383866" w:rsidP="0038386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383866" w:rsidRPr="00F23931" w:rsidRDefault="00383866" w:rsidP="0038386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F23931">
        <w:rPr>
          <w:rFonts w:ascii="Times New Roman" w:hAnsi="Times New Roman"/>
          <w:b/>
          <w:color w:val="000000"/>
          <w:sz w:val="24"/>
          <w:szCs w:val="24"/>
        </w:rPr>
        <w:t xml:space="preserve">коммуникативные </w:t>
      </w:r>
      <w:r w:rsidRPr="00F23931">
        <w:rPr>
          <w:rFonts w:ascii="Times New Roman" w:hAnsi="Times New Roman"/>
          <w:color w:val="000000"/>
          <w:sz w:val="24"/>
          <w:szCs w:val="24"/>
        </w:rPr>
        <w:t>универсальные учебные действия: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общение</w:t>
      </w:r>
      <w:r w:rsidRPr="00F23931">
        <w:rPr>
          <w:rFonts w:ascii="Times New Roman" w:hAnsi="Times New Roman"/>
          <w:color w:val="000000"/>
          <w:sz w:val="24"/>
          <w:szCs w:val="24"/>
        </w:rPr>
        <w:t>: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корректно и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высказывать своё мнение;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F23931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универсальные учебные действия: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r w:rsidRPr="00F23931">
        <w:rPr>
          <w:rFonts w:ascii="Times New Roman" w:hAnsi="Times New Roman"/>
          <w:color w:val="000000"/>
          <w:sz w:val="24"/>
          <w:szCs w:val="24"/>
        </w:rPr>
        <w:t>:</w:t>
      </w:r>
    </w:p>
    <w:p w:rsidR="00383866" w:rsidRPr="00F23931" w:rsidRDefault="00383866" w:rsidP="0038386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383866" w:rsidRPr="00F23931" w:rsidRDefault="00383866" w:rsidP="0038386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r w:rsidRPr="00F23931">
        <w:rPr>
          <w:rFonts w:ascii="Times New Roman" w:hAnsi="Times New Roman"/>
          <w:color w:val="000000"/>
          <w:sz w:val="24"/>
          <w:szCs w:val="24"/>
        </w:rPr>
        <w:t>:</w:t>
      </w:r>
    </w:p>
    <w:p w:rsidR="00383866" w:rsidRPr="00F23931" w:rsidRDefault="00383866" w:rsidP="0038386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причины успеха/неудач учебной деятельности;</w:t>
      </w:r>
    </w:p>
    <w:p w:rsidR="00383866" w:rsidRPr="00F23931" w:rsidRDefault="00383866" w:rsidP="0038386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Совместная деятельность: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различать прозаическую (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нестихотворную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) и стихотворную речь;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сказки (фольклорные и литературные), рассказы, стихотворения);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383866" w:rsidRPr="00F23931" w:rsidRDefault="00383866" w:rsidP="00F2393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читать по ролям с соблюдением норм произношения, расстановки ударения;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Calibri" w:hAnsi="Calibri"/>
          <w:b/>
          <w:color w:val="000000"/>
          <w:sz w:val="24"/>
          <w:szCs w:val="24"/>
        </w:rPr>
        <w:t>СОДЕРЖАНИЕ УЧЕБНОГО ПРЕДМЕТА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333333"/>
          <w:sz w:val="24"/>
          <w:szCs w:val="24"/>
        </w:rPr>
        <w:t>1 КЛАСС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Обучение грамоте</w:t>
      </w:r>
      <w:bookmarkStart w:id="6" w:name="_ftnref1"/>
      <w:r w:rsidR="00561DFC" w:rsidRPr="00561DFC">
        <w:rPr>
          <w:sz w:val="24"/>
          <w:szCs w:val="24"/>
        </w:rPr>
        <w:fldChar w:fldCharType="begin"/>
      </w:r>
      <w:r w:rsidRPr="00F23931">
        <w:rPr>
          <w:sz w:val="24"/>
          <w:szCs w:val="24"/>
        </w:rPr>
        <w:instrText xml:space="preserve"> HYPERLINK \l "_ftn1" \h </w:instrText>
      </w:r>
      <w:r w:rsidR="00561DFC" w:rsidRPr="00561DFC">
        <w:rPr>
          <w:sz w:val="24"/>
          <w:szCs w:val="24"/>
        </w:rPr>
        <w:fldChar w:fldCharType="separate"/>
      </w:r>
      <w:r w:rsidRPr="00F23931">
        <w:rPr>
          <w:rFonts w:ascii="Times New Roman" w:hAnsi="Times New Roman"/>
          <w:b/>
          <w:color w:val="0000FF"/>
          <w:sz w:val="24"/>
          <w:szCs w:val="24"/>
        </w:rPr>
        <w:t>[1]</w:t>
      </w:r>
      <w:r w:rsidR="00561DFC" w:rsidRPr="00F23931">
        <w:rPr>
          <w:rFonts w:ascii="Times New Roman" w:hAnsi="Times New Roman"/>
          <w:b/>
          <w:color w:val="0000FF"/>
          <w:sz w:val="24"/>
          <w:szCs w:val="24"/>
        </w:rPr>
        <w:fldChar w:fldCharType="end"/>
      </w:r>
      <w:bookmarkEnd w:id="6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Фонетика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Чтение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СИСТЕМАТИЧЕСКИЙ КУРС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Сказка фольклорная (народная) и литературная (авторская).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В.Г.Сутеева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«Кораблик», «Под грибом» ‌</w:t>
      </w:r>
      <w:bookmarkStart w:id="7" w:name="3c6557ae-d295-4af1-a85d-0fdc296e52d0"/>
      <w:r w:rsidRPr="00F23931">
        <w:rPr>
          <w:rFonts w:ascii="Times New Roman" w:hAnsi="Times New Roman"/>
          <w:color w:val="000000"/>
          <w:sz w:val="24"/>
          <w:szCs w:val="24"/>
        </w:rPr>
        <w:t>и другие (по выбору).</w:t>
      </w:r>
      <w:bookmarkEnd w:id="7"/>
      <w:r w:rsidRPr="00F23931">
        <w:rPr>
          <w:rFonts w:ascii="Times New Roman" w:hAnsi="Times New Roman"/>
          <w:color w:val="000000"/>
          <w:sz w:val="24"/>
          <w:szCs w:val="24"/>
        </w:rPr>
        <w:t xml:space="preserve">‌ 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Произведения о детях и для детей.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В.А. Осеева «Три товарища», А.Л.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«Я – лишний», Ю.И. Ермолаев «Лучший друг» ‌</w:t>
      </w:r>
      <w:bookmarkStart w:id="8" w:name="ca7d65a8-67a1-48ad-b9f5-4c964ecb554d"/>
      <w:r w:rsidRPr="00F23931">
        <w:rPr>
          <w:rFonts w:ascii="Times New Roman" w:hAnsi="Times New Roman"/>
          <w:color w:val="000000"/>
          <w:sz w:val="24"/>
          <w:szCs w:val="24"/>
        </w:rPr>
        <w:t>и другие (по выбору).</w:t>
      </w:r>
      <w:bookmarkEnd w:id="8"/>
      <w:r w:rsidRPr="00F23931">
        <w:rPr>
          <w:rFonts w:ascii="Times New Roman" w:hAnsi="Times New Roman"/>
          <w:color w:val="000000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 xml:space="preserve">Произведения о родной природе. </w:t>
      </w:r>
      <w:r w:rsidRPr="00F23931">
        <w:rPr>
          <w:rFonts w:ascii="Times New Roman" w:hAnsi="Times New Roman"/>
          <w:color w:val="000000"/>
          <w:sz w:val="24"/>
          <w:szCs w:val="24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Устное народное творчество – малые фольклорные жанры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потешка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Потешка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загадки, пословицы.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Произведения о братьях наших меньших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В.В. Бианки «Лис и Мышонок», Е.И.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Чарушин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«Про Томку», М.М. Пришвин «Ёж», Н.И. Сладков «Лисица и Ёж» ‌</w:t>
      </w:r>
      <w:bookmarkStart w:id="9" w:name="66727995-ccb9-483c-ab87-338e562062bf"/>
      <w:r w:rsidRPr="00F23931">
        <w:rPr>
          <w:rFonts w:ascii="Times New Roman" w:hAnsi="Times New Roman"/>
          <w:color w:val="000000"/>
          <w:sz w:val="24"/>
          <w:szCs w:val="24"/>
        </w:rPr>
        <w:t>и другие.</w:t>
      </w:r>
      <w:bookmarkEnd w:id="9"/>
      <w:r w:rsidRPr="00F23931">
        <w:rPr>
          <w:rFonts w:ascii="Times New Roman" w:hAnsi="Times New Roman"/>
          <w:color w:val="000000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Произведения о маме.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А. В. Митяева ‌</w:t>
      </w:r>
      <w:bookmarkStart w:id="10" w:name="e46fa320-3923-4d10-a9b9-62c8e2f571cd"/>
      <w:r w:rsidRPr="00F23931">
        <w:rPr>
          <w:rFonts w:ascii="Times New Roman" w:hAnsi="Times New Roman"/>
          <w:color w:val="000000"/>
          <w:sz w:val="24"/>
          <w:szCs w:val="24"/>
        </w:rPr>
        <w:t>и др.</w:t>
      </w:r>
      <w:bookmarkEnd w:id="10"/>
      <w:r w:rsidRPr="00F23931">
        <w:rPr>
          <w:rFonts w:ascii="Times New Roman" w:hAnsi="Times New Roman"/>
          <w:color w:val="000000"/>
          <w:sz w:val="24"/>
          <w:szCs w:val="24"/>
        </w:rPr>
        <w:t>‌).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Е.А. Благинина «Посидим в тишине», А.Л.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«Мама», А.В. Митяев «За что я люблю маму» ‌</w:t>
      </w:r>
      <w:bookmarkStart w:id="11" w:name="63596e71-5bd8-419a-90ca-6aed494cac88"/>
      <w:r w:rsidRPr="00F23931">
        <w:rPr>
          <w:rFonts w:ascii="Times New Roman" w:hAnsi="Times New Roman"/>
          <w:color w:val="000000"/>
          <w:sz w:val="24"/>
          <w:szCs w:val="24"/>
        </w:rPr>
        <w:t>и другие (по выбору).</w:t>
      </w:r>
      <w:bookmarkEnd w:id="11"/>
      <w:r w:rsidRPr="00F23931">
        <w:rPr>
          <w:rFonts w:ascii="Times New Roman" w:hAnsi="Times New Roman"/>
          <w:color w:val="000000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Фольклорные и авторские произведения о чудесах и фантазии (не менее трёх произведений).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Р.С.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Сеф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«Чудо», В.В. Лунин «Я видел чудо», Б.В.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Заходер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«Моя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Вообразилия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», Ю.П.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Мориц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«Сто фантазий» </w:t>
      </w:r>
      <w:r w:rsidRPr="00F23931">
        <w:rPr>
          <w:rFonts w:ascii="Times New Roman" w:hAnsi="Times New Roman"/>
          <w:color w:val="333333"/>
          <w:sz w:val="24"/>
          <w:szCs w:val="24"/>
        </w:rPr>
        <w:t>​‌</w:t>
      </w:r>
      <w:bookmarkStart w:id="12" w:name="12713f49-ef73-4ff6-b09f-5cc4c35dfca4"/>
      <w:r w:rsidRPr="00F23931">
        <w:rPr>
          <w:rFonts w:ascii="Times New Roman" w:hAnsi="Times New Roman"/>
          <w:color w:val="333333"/>
          <w:sz w:val="24"/>
          <w:szCs w:val="24"/>
        </w:rPr>
        <w:t>и другие (по выбору).</w:t>
      </w:r>
      <w:bookmarkEnd w:id="12"/>
      <w:r w:rsidRPr="00F23931">
        <w:rPr>
          <w:rFonts w:ascii="Times New Roman" w:hAnsi="Times New Roman"/>
          <w:color w:val="333333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Библиографическая культура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AE0BCE" w:rsidRDefault="00383866" w:rsidP="00AE0B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0E43" w:rsidRDefault="003B0E43" w:rsidP="00AE0B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0BCE" w:rsidRPr="00383866" w:rsidRDefault="00AE0BCE" w:rsidP="00AE0BCE">
      <w:pPr>
        <w:spacing w:after="0" w:line="240" w:lineRule="auto"/>
        <w:rPr>
          <w:sz w:val="24"/>
          <w:szCs w:val="24"/>
        </w:rPr>
      </w:pPr>
      <w:r w:rsidRPr="0038386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E0BCE" w:rsidRPr="00383866" w:rsidRDefault="00AE0BCE" w:rsidP="00AE0BCE">
      <w:pPr>
        <w:spacing w:after="0" w:line="240" w:lineRule="auto"/>
        <w:rPr>
          <w:sz w:val="24"/>
          <w:szCs w:val="24"/>
        </w:rPr>
      </w:pPr>
      <w:r w:rsidRPr="00383866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926" w:tblpY="73"/>
        <w:tblW w:w="1119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8"/>
        <w:gridCol w:w="4369"/>
        <w:gridCol w:w="992"/>
        <w:gridCol w:w="1276"/>
        <w:gridCol w:w="1276"/>
        <w:gridCol w:w="2268"/>
      </w:tblGrid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43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971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1199" w:type="dxa"/>
            <w:gridSpan w:val="6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1199" w:type="dxa"/>
            <w:gridSpan w:val="6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Сказка народная (фольклорная) и литературная (авторская)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детях и для детей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родной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Устное народное творчество — малые фольклорные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братьях наших меньших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маме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Библиографическая культура (работа с детской книгой)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Работа с информацией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3B0E43" w:rsidRPr="003B0E43" w:rsidRDefault="003B0E43" w:rsidP="0038386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</w:p>
    <w:p w:rsidR="00383866" w:rsidRPr="00AF430D" w:rsidRDefault="00383866" w:rsidP="00AF430D">
      <w:pPr>
        <w:spacing w:after="0" w:line="240" w:lineRule="auto"/>
        <w:ind w:left="960"/>
        <w:jc w:val="both"/>
        <w:rPr>
          <w:sz w:val="24"/>
          <w:szCs w:val="24"/>
        </w:rPr>
      </w:pPr>
      <w:r w:rsidRPr="00AF430D">
        <w:rPr>
          <w:rFonts w:ascii="Times New Roman" w:hAnsi="Times New Roman"/>
          <w:color w:val="000000"/>
          <w:sz w:val="24"/>
          <w:szCs w:val="24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383866" w:rsidRPr="00F23931" w:rsidRDefault="00383866" w:rsidP="0038386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читать наизусть стихотворения, соблюдать орфоэпические и пунктуационные нормы;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пересказывать (устно) содержание произведения с опорой на вопросы, рисунки, предложенный план;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описывать своё настроение после слушания (чтения) стихотворений, сказок, рассказов.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Регулятивные универсальные учебные действия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383866" w:rsidRPr="00F23931" w:rsidRDefault="00383866" w:rsidP="0038386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383866" w:rsidRPr="00F23931" w:rsidRDefault="00383866" w:rsidP="0038386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проявлять желание самостоятельно читать, совершенствовать свой навык чтения; </w:t>
      </w:r>
    </w:p>
    <w:p w:rsidR="00383866" w:rsidRPr="00F23931" w:rsidRDefault="00383866" w:rsidP="0038386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 помощью учителя оценивать свои успехи (трудности) в освоении читательской деятельности.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способствует формированию умений:</w:t>
      </w:r>
    </w:p>
    <w:p w:rsidR="00383866" w:rsidRPr="00F23931" w:rsidRDefault="00383866" w:rsidP="0038386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желание работать в парах, небольших группах;</w:t>
      </w:r>
    </w:p>
    <w:p w:rsidR="00383866" w:rsidRPr="00F23931" w:rsidRDefault="00383866" w:rsidP="0038386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383866" w:rsidRPr="00383866" w:rsidRDefault="00383866" w:rsidP="00383866">
      <w:pPr>
        <w:spacing w:after="0" w:line="240" w:lineRule="auto"/>
        <w:jc w:val="both"/>
        <w:rPr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83866" w:rsidRPr="00383866" w:rsidRDefault="00383866" w:rsidP="00383866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</w:rPr>
        <w:sectPr w:rsidR="00383866" w:rsidRPr="00383866" w:rsidSect="00446E0A">
          <w:footerReference w:type="default" r:id="rId8"/>
          <w:pgSz w:w="16383" w:h="11906" w:orient="landscape"/>
          <w:pgMar w:top="568" w:right="790" w:bottom="851" w:left="993" w:header="720" w:footer="720" w:gutter="0"/>
          <w:cols w:space="720"/>
          <w:titlePg/>
          <w:docGrid w:linePitch="299"/>
        </w:sectPr>
      </w:pPr>
    </w:p>
    <w:p w:rsidR="00383866" w:rsidRPr="00140497" w:rsidRDefault="00383866" w:rsidP="00140497">
      <w:pPr>
        <w:spacing w:after="0" w:line="240" w:lineRule="auto"/>
        <w:rPr>
          <w:sz w:val="24"/>
          <w:szCs w:val="24"/>
        </w:rPr>
      </w:pPr>
      <w:r w:rsidRPr="0014049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 1 КЛАСС </w:t>
      </w:r>
    </w:p>
    <w:tbl>
      <w:tblPr>
        <w:tblpPr w:leftFromText="180" w:rightFromText="180" w:horzAnchor="page" w:tblpX="981" w:tblpY="285"/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4778"/>
        <w:gridCol w:w="992"/>
        <w:gridCol w:w="2268"/>
        <w:gridCol w:w="2268"/>
        <w:gridCol w:w="1985"/>
        <w:gridCol w:w="1984"/>
      </w:tblGrid>
      <w:tr w:rsidR="00E44C6E" w:rsidRPr="00383866" w:rsidTr="00AE0BCE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44C6E" w:rsidRPr="00383866" w:rsidTr="00AE0BCE">
        <w:trPr>
          <w:trHeight w:val="924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78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4C6E" w:rsidRPr="00383866" w:rsidTr="00AE0BCE">
        <w:trPr>
          <w:trHeight w:val="792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78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44C6E" w:rsidRPr="00383866" w:rsidRDefault="00845AE4" w:rsidP="00AE0B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44C6E" w:rsidRPr="00383866" w:rsidRDefault="00845AE4" w:rsidP="00AE0B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рассказов по сюжетным картинкам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04.09.2023г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предложения из речевого потока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06.09.2023г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состава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07.09.2023г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11.09.2023г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первого звука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13.09.2023г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14.09.2023г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гласных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18.09.2023г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20.09.2023г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звуков по твёрдости-мягкости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21.09.2023г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25.09.2023г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умения проводить звуковой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27.09.2023г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природе. Произведение по выбору, например, И.С Соколов-Микитов "Русский лес"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28.09.2023г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Отработка умения устанавливать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последовательность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02.10.2023г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А, а Проведение звукового анализа слов с буквами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04.10.2023г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Я, я Проведение звукового анализа слов с буквами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05.10.2023г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О,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09.10.2023г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Ё, ё Проведение звукового анализа слов с буквами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У, у Проведение звукового анализа слов с буквами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12.10.2023г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Ю,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Ю,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16.10.2023г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Э,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Е, е Проведение звукового анализа слов с буквами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19.10.2023г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буквой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23.10.2023г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И, и Проведение звукового анализа слов с буквами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25.10.2023г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М, м Проведение звукового анализа слов с буквами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26.10.2023г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Н,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анализа слов с буквами Н,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Р,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Р,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09.11.2023г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Л, л Проведение звукового анализа слов с буквами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13.11.2023г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Й,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15.11.2023г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Г, г Проведение звукового анализа слов с буквами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16.11.2023г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К, к Проведение звукового анализа слов с буквами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20.11.2023г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З,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З,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С, с Проведение звукового анализа слов с буквами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23.11.2023г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Д,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Д,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27.11.2023г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Т,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30.11.2023г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04.12.2023г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П,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06.12.2023г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звукового анализа слов с буквами П,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07.12.2023г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13.12.2023г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Ф,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14.12.2023г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20.12.2023г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21.12.2023г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Ш,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25.12.2023г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животных. По выбору: Произведение по выбору, например, М.М. Пришвин "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Лисичкин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хлеб"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27.12.2023г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28.12.2023г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10.01.2024г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Щ,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15.01.2024г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Х,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17.01.2024г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звукового анализа слов с буквами Х,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Ц,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24.01.2024г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навыка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25.01.2024г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буквой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Различение функций буквы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особенностями буквы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31.01.2024г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В.Г.Сутеев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"Ёлка"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01.02.2024г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05.02.2024г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07.02.2024г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19.02.2024г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сюжета произведения в иллюстрациях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21.02.2024г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произведения: о жизни, играх, делах детей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26.02.2024г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28.02.2024г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04.03.2024г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06.03.2024г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07.03.2024г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Стихотворения о детях. На примере произведения А.Л.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 – лишний»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13.03.2024г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14.03.2024г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Восприятие произведений о маме: проявление любви и заботы о родных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людях. На примере стихотворения А.Л.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«Мама»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20.03.2024г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21.03.2024г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01.04.2024г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03.04.2024г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04.04.2024г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10.04.2024г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загадка, пословица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15.04.2024г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загадки как средства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воспитания живости ума, сообразительности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17.04.2024г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особенностей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игрового народного фольклора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24.04.2024г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25.04.2024г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02.05.2024г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06.05.2024г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текстом произведения: характеристика героя, его внешности, действий. На примере произведения Е.И.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Чарушина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Томку»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выставки книг «Произведения о животных»: художественный и научно-познавательные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13.05.2024г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15.05.2024г</w:t>
            </w:r>
          </w:p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Открытие чудесного в обыкновенных явлениях. На примере стихотворений В.В. Лунина «Я видел чудо», Р.С.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Сефа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«Чудо»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16.05.2024г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фантазии и чудес в произведениях Б.В.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Заходера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«Моя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Вообразилия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Ю.П.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Мориц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«Сто фантазий»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17.05.2024г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фантазии и чудес в произведениях  Ю.П.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Мориц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«Сто фантазий»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20.05.2024г</w:t>
            </w:r>
          </w:p>
          <w:p w:rsidR="00D9478F" w:rsidRPr="0056115D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22.05.2024г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Ориентировка в книге: обложка, иллюстрация, оглавление. Выбор книг в библиотеке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23.05.2024г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83866" w:rsidRDefault="00383866" w:rsidP="003838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83866" w:rsidRDefault="00383866" w:rsidP="003838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rStyle w:val="a5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rStyle w:val="a5"/>
          <w:rFonts w:eastAsiaTheme="majorEastAsia"/>
          <w:caps/>
          <w:color w:val="000000"/>
        </w:rPr>
        <w:t>ОБЯЗАТЕЛЬНЫЕ УЧЕБНЫЕ МАТЕРИАЛЫ ДЛЯ УЧЕНИКА</w:t>
      </w: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color w:val="333333"/>
        </w:rPr>
        <w:t>​</w:t>
      </w:r>
      <w:r w:rsidRPr="001F3337">
        <w:rPr>
          <w:rStyle w:val="placeholder-mask"/>
          <w:rFonts w:eastAsiaTheme="majorEastAsia"/>
          <w:color w:val="333333"/>
        </w:rPr>
        <w:t>‌</w:t>
      </w:r>
      <w:r w:rsidRPr="001F3337">
        <w:rPr>
          <w:rStyle w:val="placeholder"/>
          <w:rFonts w:eastAsiaTheme="majorEastAsia"/>
          <w:color w:val="333333"/>
        </w:rPr>
        <w:t>• Литературное чтение (в 2 частях), 1 класс/ Климанова Л.Ф., Горецкий В.Г., Виноградская Л.А., Акционерное общество «Издательство «Просвещение»</w:t>
      </w: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rStyle w:val="a5"/>
          <w:rFonts w:eastAsiaTheme="majorEastAsia"/>
          <w:caps/>
          <w:color w:val="000000"/>
        </w:rPr>
        <w:t>МЕТОДИЧЕСКИЕ МАТЕРИАЛЫ ДЛЯ УЧИТЕЛЯ</w:t>
      </w: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color w:val="333333"/>
        </w:rPr>
        <w:t>​</w:t>
      </w:r>
      <w:r w:rsidRPr="001F3337">
        <w:rPr>
          <w:rStyle w:val="placeholder-mask"/>
          <w:rFonts w:eastAsiaTheme="majorEastAsia"/>
          <w:color w:val="333333"/>
        </w:rPr>
        <w:t>‌</w:t>
      </w:r>
      <w:r w:rsidRPr="001F3337">
        <w:rPr>
          <w:rStyle w:val="placeholder"/>
          <w:rFonts w:eastAsiaTheme="majorEastAsia"/>
          <w:color w:val="333333"/>
        </w:rPr>
        <w:t xml:space="preserve">интерактивная доска, доска, наглядный материал, раздаточный материал </w:t>
      </w:r>
      <w:r w:rsidRPr="001F3337">
        <w:rPr>
          <w:rStyle w:val="placeholder-mask"/>
          <w:rFonts w:eastAsiaTheme="majorEastAsia"/>
          <w:color w:val="333333"/>
        </w:rPr>
        <w:t>‌</w:t>
      </w:r>
      <w:r w:rsidRPr="001F3337">
        <w:rPr>
          <w:color w:val="333333"/>
        </w:rPr>
        <w:t>​</w:t>
      </w: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rStyle w:val="a5"/>
          <w:rFonts w:eastAsiaTheme="majorEastAsia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</w:rPr>
        <w:t>​</w:t>
      </w:r>
      <w:r>
        <w:rPr>
          <w:color w:val="333333"/>
          <w:sz w:val="25"/>
          <w:szCs w:val="25"/>
          <w:shd w:val="clear" w:color="auto" w:fill="FFFFFF"/>
        </w:rPr>
        <w:t>​‌</w:t>
      </w:r>
      <w:proofErr w:type="spellStart"/>
      <w:r>
        <w:rPr>
          <w:rStyle w:val="placeholder"/>
          <w:rFonts w:eastAsiaTheme="majorEastAsia"/>
          <w:color w:val="333333"/>
          <w:sz w:val="25"/>
          <w:szCs w:val="25"/>
        </w:rPr>
        <w:t>Мультимедийный</w:t>
      </w:r>
      <w:proofErr w:type="spellEnd"/>
      <w:r>
        <w:rPr>
          <w:rStyle w:val="placeholder"/>
          <w:rFonts w:eastAsiaTheme="majorEastAsia"/>
          <w:color w:val="333333"/>
          <w:sz w:val="25"/>
          <w:szCs w:val="25"/>
        </w:rPr>
        <w:t xml:space="preserve"> проектор. ,интерактивная доска, ноутбук</w:t>
      </w:r>
      <w:r>
        <w:rPr>
          <w:color w:val="333333"/>
          <w:sz w:val="25"/>
          <w:szCs w:val="25"/>
          <w:shd w:val="clear" w:color="auto" w:fill="FFFFFF"/>
        </w:rPr>
        <w:t>‌</w:t>
      </w:r>
    </w:p>
    <w:sectPr w:rsidR="00575A96" w:rsidSect="00AE0BCE">
      <w:pgSz w:w="16383" w:h="11906" w:orient="landscape"/>
      <w:pgMar w:top="568" w:right="426" w:bottom="426" w:left="5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537" w:rsidRDefault="00674537" w:rsidP="00674537">
      <w:pPr>
        <w:spacing w:after="0" w:line="240" w:lineRule="auto"/>
      </w:pPr>
      <w:r>
        <w:separator/>
      </w:r>
    </w:p>
  </w:endnote>
  <w:endnote w:type="continuationSeparator" w:id="1">
    <w:p w:rsidR="00674537" w:rsidRDefault="00674537" w:rsidP="0067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91"/>
      <w:docPartObj>
        <w:docPartGallery w:val="Page Numbers (Bottom of Page)"/>
        <w:docPartUnique/>
      </w:docPartObj>
    </w:sdtPr>
    <w:sdtContent>
      <w:p w:rsidR="00446E0A" w:rsidRDefault="00446E0A">
        <w:pPr>
          <w:pStyle w:val="a8"/>
          <w:jc w:val="center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674537" w:rsidRDefault="006745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537" w:rsidRDefault="00674537" w:rsidP="00674537">
      <w:pPr>
        <w:spacing w:after="0" w:line="240" w:lineRule="auto"/>
      </w:pPr>
      <w:r>
        <w:separator/>
      </w:r>
    </w:p>
  </w:footnote>
  <w:footnote w:type="continuationSeparator" w:id="1">
    <w:p w:rsidR="00674537" w:rsidRDefault="00674537" w:rsidP="0067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2CE"/>
    <w:multiLevelType w:val="multilevel"/>
    <w:tmpl w:val="AA9A6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043F"/>
    <w:multiLevelType w:val="multilevel"/>
    <w:tmpl w:val="13B0B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A76424"/>
    <w:multiLevelType w:val="multilevel"/>
    <w:tmpl w:val="E4BA4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AB45EE"/>
    <w:multiLevelType w:val="multilevel"/>
    <w:tmpl w:val="F38A7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CA55A1"/>
    <w:multiLevelType w:val="multilevel"/>
    <w:tmpl w:val="B0CCF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3605AB"/>
    <w:multiLevelType w:val="multilevel"/>
    <w:tmpl w:val="3CEC7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831DB6"/>
    <w:multiLevelType w:val="multilevel"/>
    <w:tmpl w:val="1CF67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075087"/>
    <w:multiLevelType w:val="multilevel"/>
    <w:tmpl w:val="2A5C7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E2BBA"/>
    <w:multiLevelType w:val="multilevel"/>
    <w:tmpl w:val="7DFA7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C0358A"/>
    <w:multiLevelType w:val="multilevel"/>
    <w:tmpl w:val="4A9E1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EF28CB"/>
    <w:multiLevelType w:val="multilevel"/>
    <w:tmpl w:val="79124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F006E9"/>
    <w:multiLevelType w:val="multilevel"/>
    <w:tmpl w:val="B5CE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992F64"/>
    <w:multiLevelType w:val="multilevel"/>
    <w:tmpl w:val="8ED03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5C40C7"/>
    <w:multiLevelType w:val="multilevel"/>
    <w:tmpl w:val="9DEA8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596C75"/>
    <w:multiLevelType w:val="multilevel"/>
    <w:tmpl w:val="4C9A0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B74C86"/>
    <w:multiLevelType w:val="multilevel"/>
    <w:tmpl w:val="D84A2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C86D83"/>
    <w:multiLevelType w:val="multilevel"/>
    <w:tmpl w:val="F1F4D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1D1E4A"/>
    <w:multiLevelType w:val="multilevel"/>
    <w:tmpl w:val="4EFCA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BF78DB"/>
    <w:multiLevelType w:val="multilevel"/>
    <w:tmpl w:val="9A7E6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090C1B"/>
    <w:multiLevelType w:val="multilevel"/>
    <w:tmpl w:val="1E040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3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8"/>
  </w:num>
  <w:num w:numId="10">
    <w:abstractNumId w:val="19"/>
  </w:num>
  <w:num w:numId="11">
    <w:abstractNumId w:val="5"/>
  </w:num>
  <w:num w:numId="12">
    <w:abstractNumId w:val="3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18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866"/>
    <w:rsid w:val="00104A6C"/>
    <w:rsid w:val="00140497"/>
    <w:rsid w:val="0034026C"/>
    <w:rsid w:val="00383866"/>
    <w:rsid w:val="003B0E43"/>
    <w:rsid w:val="003C75FA"/>
    <w:rsid w:val="00446E0A"/>
    <w:rsid w:val="00561DFC"/>
    <w:rsid w:val="00575A96"/>
    <w:rsid w:val="00640ADB"/>
    <w:rsid w:val="00674537"/>
    <w:rsid w:val="00691F2F"/>
    <w:rsid w:val="00692B10"/>
    <w:rsid w:val="0081554C"/>
    <w:rsid w:val="00845AE4"/>
    <w:rsid w:val="00855D93"/>
    <w:rsid w:val="008D0400"/>
    <w:rsid w:val="00980D9C"/>
    <w:rsid w:val="00AE0BCE"/>
    <w:rsid w:val="00AF430D"/>
    <w:rsid w:val="00B919D5"/>
    <w:rsid w:val="00CB2334"/>
    <w:rsid w:val="00CF6C83"/>
    <w:rsid w:val="00D9478F"/>
    <w:rsid w:val="00DC6861"/>
    <w:rsid w:val="00DE3D07"/>
    <w:rsid w:val="00E43E6B"/>
    <w:rsid w:val="00E44C6E"/>
    <w:rsid w:val="00E54112"/>
    <w:rsid w:val="00E84D8D"/>
    <w:rsid w:val="00F23931"/>
    <w:rsid w:val="00FA4E5A"/>
    <w:rsid w:val="00FC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75A96"/>
    <w:rPr>
      <w:b/>
      <w:bCs/>
    </w:rPr>
  </w:style>
  <w:style w:type="character" w:customStyle="1" w:styleId="placeholder-mask">
    <w:name w:val="placeholder-mask"/>
    <w:basedOn w:val="a0"/>
    <w:rsid w:val="00575A96"/>
  </w:style>
  <w:style w:type="character" w:customStyle="1" w:styleId="placeholder">
    <w:name w:val="placeholder"/>
    <w:basedOn w:val="a0"/>
    <w:rsid w:val="00575A96"/>
  </w:style>
  <w:style w:type="paragraph" w:styleId="a6">
    <w:name w:val="header"/>
    <w:basedOn w:val="a"/>
    <w:link w:val="a7"/>
    <w:uiPriority w:val="99"/>
    <w:semiHidden/>
    <w:unhideWhenUsed/>
    <w:rsid w:val="0067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453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7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53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A5189-BDAD-4E0C-BD79-1FE1F622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20</Pages>
  <Words>5323</Words>
  <Characters>30345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Атагаджиева</dc:creator>
  <cp:lastModifiedBy>Магнат</cp:lastModifiedBy>
  <cp:revision>17</cp:revision>
  <cp:lastPrinted>2023-09-07T19:35:00Z</cp:lastPrinted>
  <dcterms:created xsi:type="dcterms:W3CDTF">2023-08-29T22:43:00Z</dcterms:created>
  <dcterms:modified xsi:type="dcterms:W3CDTF">2023-09-07T19:36:00Z</dcterms:modified>
</cp:coreProperties>
</file>