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32" w:rsidRPr="007653EA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работа, читательская грамотность </w:t>
      </w:r>
      <w:r w:rsidR="00D60E5B">
        <w:rPr>
          <w:rFonts w:ascii="Times New Roman" w:hAnsi="Times New Roman"/>
          <w:b/>
          <w:sz w:val="24"/>
          <w:szCs w:val="24"/>
        </w:rPr>
        <w:t>202</w:t>
      </w:r>
      <w:r w:rsidR="00546AE2">
        <w:rPr>
          <w:rFonts w:ascii="Times New Roman" w:hAnsi="Times New Roman"/>
          <w:b/>
          <w:sz w:val="24"/>
          <w:szCs w:val="24"/>
        </w:rPr>
        <w:t>2</w:t>
      </w:r>
    </w:p>
    <w:tbl>
      <w:tblPr>
        <w:tblW w:w="555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963"/>
        <w:gridCol w:w="1359"/>
        <w:gridCol w:w="1220"/>
        <w:gridCol w:w="1197"/>
        <w:gridCol w:w="1131"/>
        <w:gridCol w:w="1135"/>
        <w:gridCol w:w="1131"/>
        <w:gridCol w:w="1133"/>
      </w:tblGrid>
      <w:tr w:rsidR="00C665AE" w:rsidRPr="00C665AE" w:rsidTr="00C665AE">
        <w:trPr>
          <w:trHeight w:val="1466"/>
        </w:trPr>
        <w:tc>
          <w:tcPr>
            <w:tcW w:w="1732" w:type="pct"/>
            <w:gridSpan w:val="3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</w:p>
        </w:tc>
        <w:tc>
          <w:tcPr>
            <w:tcW w:w="574" w:type="pct"/>
            <w:vAlign w:val="center"/>
          </w:tcPr>
          <w:p w:rsidR="00C665AE" w:rsidRDefault="00C665AE" w:rsidP="00C665AE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>Среднее значение по 5 классам</w:t>
            </w:r>
          </w:p>
          <w:p w:rsidR="00C665AE" w:rsidRPr="00C665AE" w:rsidRDefault="00C665AE" w:rsidP="00C665AE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>(%)</w:t>
            </w:r>
          </w:p>
        </w:tc>
        <w:tc>
          <w:tcPr>
            <w:tcW w:w="563" w:type="pct"/>
            <w:vAlign w:val="center"/>
          </w:tcPr>
          <w:p w:rsidR="00C665AE" w:rsidRPr="00C665AE" w:rsidRDefault="00C665AE" w:rsidP="00C665AE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 xml:space="preserve">Среднее значение по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6 </w:t>
            </w: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>класс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ам </w:t>
            </w: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>(%)</w:t>
            </w:r>
          </w:p>
        </w:tc>
        <w:tc>
          <w:tcPr>
            <w:tcW w:w="532" w:type="pct"/>
            <w:vAlign w:val="center"/>
          </w:tcPr>
          <w:p w:rsidR="00C665AE" w:rsidRPr="00C665AE" w:rsidRDefault="00C665AE" w:rsidP="00C665AE">
            <w:pPr>
              <w:spacing w:after="0" w:line="300" w:lineRule="auto"/>
              <w:jc w:val="center"/>
              <w:rPr>
                <w:b/>
                <w:color w:val="000000"/>
              </w:rPr>
            </w:pP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 xml:space="preserve">Среднее значение по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7 </w:t>
            </w: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>классам (%)</w:t>
            </w:r>
          </w:p>
        </w:tc>
        <w:tc>
          <w:tcPr>
            <w:tcW w:w="534" w:type="pct"/>
            <w:vAlign w:val="center"/>
          </w:tcPr>
          <w:p w:rsidR="00C665AE" w:rsidRPr="00C665AE" w:rsidRDefault="00C665AE" w:rsidP="00C665AE">
            <w:pPr>
              <w:spacing w:after="0" w:line="300" w:lineRule="auto"/>
              <w:jc w:val="center"/>
              <w:rPr>
                <w:b/>
                <w:color w:val="000000"/>
              </w:rPr>
            </w:pP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 xml:space="preserve">Среднее значение по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8 </w:t>
            </w: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 xml:space="preserve"> классам (%)</w:t>
            </w:r>
          </w:p>
        </w:tc>
        <w:tc>
          <w:tcPr>
            <w:tcW w:w="532" w:type="pct"/>
          </w:tcPr>
          <w:p w:rsidR="00C665AE" w:rsidRPr="00C665AE" w:rsidRDefault="00C665AE" w:rsidP="00C665AE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 xml:space="preserve">Среднее значение по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9</w:t>
            </w: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 xml:space="preserve">  классам (%)</w:t>
            </w:r>
          </w:p>
        </w:tc>
        <w:tc>
          <w:tcPr>
            <w:tcW w:w="534" w:type="pct"/>
            <w:vAlign w:val="center"/>
          </w:tcPr>
          <w:p w:rsidR="00C665AE" w:rsidRPr="00C665AE" w:rsidRDefault="00C665AE" w:rsidP="00D624A6">
            <w:pPr>
              <w:spacing w:after="0" w:line="300" w:lineRule="auto"/>
              <w:jc w:val="center"/>
              <w:rPr>
                <w:b/>
                <w:color w:val="000000"/>
              </w:rPr>
            </w:pPr>
            <w:r w:rsidRPr="00C665AE">
              <w:rPr>
                <w:rFonts w:ascii="Times New Roman" w:hAnsi="Times New Roman"/>
                <w:b/>
                <w:color w:val="000000"/>
                <w:szCs w:val="24"/>
              </w:rPr>
              <w:t>Среднее значение по региону (%)</w:t>
            </w:r>
          </w:p>
        </w:tc>
      </w:tr>
      <w:tr w:rsidR="00C665AE" w:rsidRPr="00C665AE" w:rsidTr="00C665AE">
        <w:trPr>
          <w:trHeight w:val="350"/>
        </w:trPr>
        <w:tc>
          <w:tcPr>
            <w:tcW w:w="640" w:type="pct"/>
            <w:vMerge w:val="restart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bCs/>
                <w:color w:val="000000"/>
                <w:sz w:val="22"/>
              </w:rPr>
              <w:t>Успешность выполнения (% от максимального балла)</w:t>
            </w:r>
          </w:p>
        </w:tc>
        <w:tc>
          <w:tcPr>
            <w:tcW w:w="1092" w:type="pct"/>
            <w:gridSpan w:val="2"/>
          </w:tcPr>
          <w:p w:rsidR="00C665AE" w:rsidRPr="00C665AE" w:rsidRDefault="00C665AE" w:rsidP="00C665AE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bCs/>
                <w:color w:val="000000"/>
                <w:sz w:val="22"/>
              </w:rPr>
              <w:t>Вс</w:t>
            </w:r>
            <w:r>
              <w:rPr>
                <w:bCs/>
                <w:color w:val="000000"/>
                <w:sz w:val="22"/>
              </w:rPr>
              <w:t>е</w:t>
            </w:r>
            <w:r w:rsidRPr="00C665AE">
              <w:rPr>
                <w:bCs/>
                <w:color w:val="000000"/>
                <w:sz w:val="22"/>
              </w:rPr>
              <w:t xml:space="preserve"> работы (общий балл)</w:t>
            </w:r>
          </w:p>
        </w:tc>
        <w:tc>
          <w:tcPr>
            <w:tcW w:w="574" w:type="pct"/>
          </w:tcPr>
          <w:p w:rsidR="00C665AE" w:rsidRPr="00C665AE" w:rsidRDefault="00CD53B7" w:rsidP="00CD53B7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  <w:r w:rsidR="00C665AE" w:rsidRPr="00C665AE">
              <w:rPr>
                <w:sz w:val="22"/>
              </w:rPr>
              <w:t>/</w:t>
            </w:r>
            <w:r>
              <w:rPr>
                <w:sz w:val="22"/>
              </w:rPr>
              <w:t>38</w:t>
            </w:r>
          </w:p>
        </w:tc>
        <w:tc>
          <w:tcPr>
            <w:tcW w:w="563" w:type="pct"/>
          </w:tcPr>
          <w:p w:rsidR="00C665AE" w:rsidRPr="00C665AE" w:rsidRDefault="00CD53B7" w:rsidP="00CD53B7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 w:rsidR="00C665AE" w:rsidRPr="00C665AE">
              <w:rPr>
                <w:sz w:val="22"/>
              </w:rPr>
              <w:t>/</w:t>
            </w:r>
            <w:r>
              <w:rPr>
                <w:sz w:val="22"/>
              </w:rPr>
              <w:t>25</w:t>
            </w:r>
          </w:p>
        </w:tc>
        <w:tc>
          <w:tcPr>
            <w:tcW w:w="532" w:type="pct"/>
          </w:tcPr>
          <w:p w:rsidR="00C665AE" w:rsidRPr="00C665AE" w:rsidRDefault="00CD53B7" w:rsidP="00CD53B7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  <w:r w:rsidR="00C665AE" w:rsidRPr="00C665AE">
              <w:rPr>
                <w:sz w:val="22"/>
              </w:rPr>
              <w:t>/</w:t>
            </w:r>
            <w:r>
              <w:rPr>
                <w:sz w:val="22"/>
              </w:rPr>
              <w:t>56</w:t>
            </w:r>
          </w:p>
        </w:tc>
        <w:tc>
          <w:tcPr>
            <w:tcW w:w="534" w:type="pct"/>
          </w:tcPr>
          <w:p w:rsidR="00C665AE" w:rsidRPr="00C665AE" w:rsidRDefault="00CD53B7" w:rsidP="00CD53B7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  <w:r w:rsidR="00C665AE" w:rsidRPr="00C665AE">
              <w:rPr>
                <w:sz w:val="22"/>
              </w:rPr>
              <w:t>/</w:t>
            </w:r>
            <w:r>
              <w:rPr>
                <w:sz w:val="22"/>
              </w:rPr>
              <w:t>52</w:t>
            </w:r>
          </w:p>
        </w:tc>
        <w:tc>
          <w:tcPr>
            <w:tcW w:w="532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49/69</w:t>
            </w:r>
          </w:p>
        </w:tc>
        <w:tc>
          <w:tcPr>
            <w:tcW w:w="534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 w:rsidR="00C665AE" w:rsidRPr="00C665AE" w:rsidTr="00C665AE">
        <w:trPr>
          <w:trHeight w:val="382"/>
        </w:trPr>
        <w:tc>
          <w:tcPr>
            <w:tcW w:w="640" w:type="pct"/>
            <w:vMerge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C665AE" w:rsidRPr="00C665AE" w:rsidRDefault="00C665AE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665AE">
              <w:rPr>
                <w:rFonts w:ascii="Times New Roman" w:hAnsi="Times New Roman"/>
                <w:bCs/>
                <w:color w:val="000000"/>
                <w:szCs w:val="24"/>
              </w:rPr>
              <w:t>Задания по группам умений</w:t>
            </w:r>
          </w:p>
        </w:tc>
        <w:tc>
          <w:tcPr>
            <w:tcW w:w="638" w:type="pct"/>
            <w:vAlign w:val="center"/>
          </w:tcPr>
          <w:p w:rsidR="00C665AE" w:rsidRPr="00C665AE" w:rsidRDefault="00C665AE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665AE">
              <w:rPr>
                <w:rFonts w:ascii="Times New Roman" w:hAnsi="Times New Roman"/>
                <w:bCs/>
                <w:color w:val="000000"/>
                <w:szCs w:val="24"/>
              </w:rPr>
              <w:t>Общее понимание и ориентация в тексте</w:t>
            </w:r>
          </w:p>
        </w:tc>
        <w:tc>
          <w:tcPr>
            <w:tcW w:w="574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563" w:type="pct"/>
          </w:tcPr>
          <w:p w:rsidR="00C665AE" w:rsidRPr="00C665AE" w:rsidRDefault="00C665AE" w:rsidP="00CD53B7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sz w:val="22"/>
              </w:rPr>
              <w:t>4</w:t>
            </w:r>
            <w:r w:rsidR="00CD53B7">
              <w:rPr>
                <w:sz w:val="22"/>
              </w:rPr>
              <w:t>5</w:t>
            </w:r>
          </w:p>
        </w:tc>
        <w:tc>
          <w:tcPr>
            <w:tcW w:w="532" w:type="pct"/>
          </w:tcPr>
          <w:p w:rsidR="00C665AE" w:rsidRPr="00C665AE" w:rsidRDefault="00C665AE" w:rsidP="00CD53B7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sz w:val="22"/>
              </w:rPr>
              <w:t>4</w:t>
            </w:r>
            <w:r w:rsidR="00CD53B7">
              <w:rPr>
                <w:sz w:val="22"/>
              </w:rPr>
              <w:t>3</w:t>
            </w:r>
          </w:p>
        </w:tc>
        <w:tc>
          <w:tcPr>
            <w:tcW w:w="534" w:type="pct"/>
          </w:tcPr>
          <w:p w:rsidR="00C665AE" w:rsidRPr="00C665AE" w:rsidRDefault="00C665AE" w:rsidP="00CD53B7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sz w:val="22"/>
              </w:rPr>
              <w:t>4</w:t>
            </w:r>
            <w:r w:rsidR="00CD53B7">
              <w:rPr>
                <w:sz w:val="22"/>
              </w:rPr>
              <w:t>1</w:t>
            </w:r>
          </w:p>
        </w:tc>
        <w:tc>
          <w:tcPr>
            <w:tcW w:w="532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534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bookmarkStart w:id="0" w:name="_GoBack"/>
        <w:bookmarkEnd w:id="0"/>
      </w:tr>
      <w:tr w:rsidR="00C665AE" w:rsidRPr="00C665AE" w:rsidTr="00C665AE">
        <w:trPr>
          <w:trHeight w:val="749"/>
        </w:trPr>
        <w:tc>
          <w:tcPr>
            <w:tcW w:w="640" w:type="pct"/>
            <w:vMerge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</w:p>
        </w:tc>
        <w:tc>
          <w:tcPr>
            <w:tcW w:w="453" w:type="pct"/>
            <w:vMerge/>
            <w:vAlign w:val="center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</w:p>
        </w:tc>
        <w:tc>
          <w:tcPr>
            <w:tcW w:w="638" w:type="pct"/>
            <w:vAlign w:val="center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bCs/>
                <w:color w:val="000000"/>
                <w:sz w:val="22"/>
              </w:rPr>
              <w:t>Глубокое и детальное понимание содержания и формы текста</w:t>
            </w:r>
          </w:p>
        </w:tc>
        <w:tc>
          <w:tcPr>
            <w:tcW w:w="574" w:type="pct"/>
          </w:tcPr>
          <w:p w:rsidR="00C665AE" w:rsidRPr="00C665AE" w:rsidRDefault="00C665AE" w:rsidP="00CD53B7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sz w:val="22"/>
              </w:rPr>
              <w:t>5</w:t>
            </w:r>
            <w:r w:rsidR="00CD53B7">
              <w:rPr>
                <w:sz w:val="22"/>
              </w:rPr>
              <w:t>1</w:t>
            </w:r>
          </w:p>
        </w:tc>
        <w:tc>
          <w:tcPr>
            <w:tcW w:w="563" w:type="pct"/>
          </w:tcPr>
          <w:p w:rsidR="00C665AE" w:rsidRPr="00C665AE" w:rsidRDefault="00C665AE" w:rsidP="00CD53B7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sz w:val="22"/>
              </w:rPr>
              <w:t>5</w:t>
            </w:r>
            <w:r w:rsidR="00CD53B7">
              <w:rPr>
                <w:sz w:val="22"/>
              </w:rPr>
              <w:t>2</w:t>
            </w:r>
          </w:p>
        </w:tc>
        <w:tc>
          <w:tcPr>
            <w:tcW w:w="532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534" w:type="pct"/>
          </w:tcPr>
          <w:p w:rsidR="00C665AE" w:rsidRPr="00C665AE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532" w:type="pct"/>
          </w:tcPr>
          <w:p w:rsidR="00C665AE" w:rsidRPr="00C665AE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534" w:type="pct"/>
          </w:tcPr>
          <w:p w:rsidR="00C665AE" w:rsidRPr="00C665AE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C665AE" w:rsidRPr="00C665AE" w:rsidTr="00C665AE">
        <w:trPr>
          <w:trHeight w:val="733"/>
        </w:trPr>
        <w:tc>
          <w:tcPr>
            <w:tcW w:w="640" w:type="pct"/>
            <w:vMerge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</w:p>
        </w:tc>
        <w:tc>
          <w:tcPr>
            <w:tcW w:w="453" w:type="pct"/>
            <w:vMerge/>
            <w:vAlign w:val="center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</w:p>
        </w:tc>
        <w:tc>
          <w:tcPr>
            <w:tcW w:w="638" w:type="pct"/>
            <w:vAlign w:val="center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bCs/>
                <w:color w:val="000000"/>
                <w:sz w:val="22"/>
              </w:rPr>
              <w:t>Использование информации из текста для различных целей</w:t>
            </w:r>
          </w:p>
        </w:tc>
        <w:tc>
          <w:tcPr>
            <w:tcW w:w="574" w:type="pct"/>
          </w:tcPr>
          <w:p w:rsidR="00C665AE" w:rsidRPr="00C665AE" w:rsidRDefault="00C665AE" w:rsidP="00155E22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sz w:val="22"/>
              </w:rPr>
              <w:t>5</w:t>
            </w:r>
            <w:r w:rsidR="00155E22">
              <w:rPr>
                <w:sz w:val="22"/>
              </w:rPr>
              <w:t>0</w:t>
            </w:r>
          </w:p>
        </w:tc>
        <w:tc>
          <w:tcPr>
            <w:tcW w:w="563" w:type="pct"/>
          </w:tcPr>
          <w:p w:rsidR="00C665AE" w:rsidRPr="00C665AE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532" w:type="pct"/>
          </w:tcPr>
          <w:p w:rsidR="00C665AE" w:rsidRPr="00C665AE" w:rsidRDefault="00C665AE" w:rsidP="00155E22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sz w:val="22"/>
              </w:rPr>
              <w:t>3</w:t>
            </w:r>
            <w:r w:rsidR="00155E22">
              <w:rPr>
                <w:sz w:val="22"/>
              </w:rPr>
              <w:t>7</w:t>
            </w:r>
          </w:p>
        </w:tc>
        <w:tc>
          <w:tcPr>
            <w:tcW w:w="534" w:type="pct"/>
          </w:tcPr>
          <w:p w:rsidR="00C665AE" w:rsidRPr="00C665AE" w:rsidRDefault="00C665AE" w:rsidP="00155E22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sz w:val="22"/>
              </w:rPr>
              <w:t>3</w:t>
            </w:r>
            <w:r w:rsidR="00155E22">
              <w:rPr>
                <w:sz w:val="22"/>
              </w:rPr>
              <w:t>2</w:t>
            </w:r>
          </w:p>
        </w:tc>
        <w:tc>
          <w:tcPr>
            <w:tcW w:w="532" w:type="pct"/>
          </w:tcPr>
          <w:p w:rsidR="00C665AE" w:rsidRPr="00C665AE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534" w:type="pct"/>
          </w:tcPr>
          <w:p w:rsidR="00C665AE" w:rsidRPr="00C665AE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C665AE" w:rsidRPr="00C665AE" w:rsidTr="00C665AE">
        <w:trPr>
          <w:trHeight w:val="366"/>
        </w:trPr>
        <w:tc>
          <w:tcPr>
            <w:tcW w:w="640" w:type="pct"/>
            <w:vMerge w:val="restart"/>
            <w:vAlign w:val="center"/>
          </w:tcPr>
          <w:p w:rsidR="00C665AE" w:rsidRPr="00C665AE" w:rsidRDefault="00C665AE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665AE">
              <w:rPr>
                <w:rFonts w:ascii="Times New Roman" w:hAnsi="Times New Roman"/>
                <w:bCs/>
                <w:color w:val="000000"/>
                <w:szCs w:val="24"/>
              </w:rPr>
              <w:t>Уровни достижений (% учащихся)</w:t>
            </w:r>
          </w:p>
        </w:tc>
        <w:tc>
          <w:tcPr>
            <w:tcW w:w="1092" w:type="pct"/>
            <w:gridSpan w:val="2"/>
            <w:vAlign w:val="center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bCs/>
                <w:color w:val="000000"/>
                <w:sz w:val="22"/>
              </w:rPr>
              <w:t>Достигли базового уровня (включая повышенный)</w:t>
            </w:r>
          </w:p>
        </w:tc>
        <w:tc>
          <w:tcPr>
            <w:tcW w:w="574" w:type="pct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63" w:type="pct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32" w:type="pct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34" w:type="pct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32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34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C665AE" w:rsidRPr="00C665AE" w:rsidTr="00C665AE">
        <w:trPr>
          <w:trHeight w:val="733"/>
        </w:trPr>
        <w:tc>
          <w:tcPr>
            <w:tcW w:w="640" w:type="pct"/>
            <w:vMerge/>
            <w:vAlign w:val="center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</w:p>
        </w:tc>
        <w:tc>
          <w:tcPr>
            <w:tcW w:w="1092" w:type="pct"/>
            <w:gridSpan w:val="2"/>
            <w:vAlign w:val="center"/>
          </w:tcPr>
          <w:p w:rsidR="00C665AE" w:rsidRPr="00C665AE" w:rsidRDefault="00C665AE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 w:rsidRPr="00C665AE">
              <w:rPr>
                <w:bCs/>
                <w:color w:val="000000"/>
                <w:sz w:val="22"/>
              </w:rPr>
              <w:t>Достигли повышенного уровня</w:t>
            </w:r>
          </w:p>
        </w:tc>
        <w:tc>
          <w:tcPr>
            <w:tcW w:w="574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3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32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34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32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34" w:type="pct"/>
          </w:tcPr>
          <w:p w:rsidR="00C665AE" w:rsidRPr="00C665AE" w:rsidRDefault="00CD53B7" w:rsidP="00D01050">
            <w:pPr>
              <w:pStyle w:val="a3"/>
              <w:spacing w:before="0" w:beforeAutospacing="0" w:after="0" w:afterAutospacing="0"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</w:tbl>
    <w:p w:rsidR="00451732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1732" w:rsidRPr="007653EA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</w:t>
      </w:r>
      <w:r>
        <w:rPr>
          <w:rFonts w:ascii="Times New Roman" w:hAnsi="Times New Roman"/>
          <w:b/>
          <w:sz w:val="24"/>
          <w:szCs w:val="24"/>
        </w:rPr>
        <w:t>, г</w:t>
      </w:r>
      <w:r w:rsidRPr="007653EA">
        <w:rPr>
          <w:rFonts w:ascii="Times New Roman" w:hAnsi="Times New Roman"/>
          <w:b/>
          <w:sz w:val="24"/>
          <w:szCs w:val="24"/>
        </w:rPr>
        <w:t>рупповой проект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966"/>
        <w:gridCol w:w="2042"/>
        <w:gridCol w:w="1878"/>
      </w:tblGrid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по школе (%)</w:t>
            </w: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в муниципальном образовании (%)</w:t>
            </w:r>
          </w:p>
        </w:tc>
        <w:tc>
          <w:tcPr>
            <w:tcW w:w="981" w:type="pct"/>
          </w:tcPr>
          <w:p w:rsidR="00451732" w:rsidRPr="007653EA" w:rsidRDefault="00451732" w:rsidP="00155E22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Среднее значение по </w:t>
            </w:r>
            <w:r w:rsidR="00155E22">
              <w:t>региону</w:t>
            </w:r>
            <w:r w:rsidRPr="007653EA">
              <w:t xml:space="preserve"> (%) </w:t>
            </w: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Весь проект (общий балл) </w:t>
            </w:r>
          </w:p>
        </w:tc>
        <w:tc>
          <w:tcPr>
            <w:tcW w:w="1027" w:type="pct"/>
          </w:tcPr>
          <w:p w:rsidR="00451732" w:rsidRPr="007653EA" w:rsidRDefault="00155E22" w:rsidP="00155E22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45</w:t>
            </w:r>
            <w:r w:rsidR="00A440B9">
              <w:t>/4</w:t>
            </w:r>
            <w:r>
              <w:t>7</w:t>
            </w:r>
          </w:p>
        </w:tc>
        <w:tc>
          <w:tcPr>
            <w:tcW w:w="1067" w:type="pct"/>
          </w:tcPr>
          <w:p w:rsidR="00451732" w:rsidRPr="007653EA" w:rsidRDefault="00155E22" w:rsidP="00155E22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42</w:t>
            </w:r>
          </w:p>
        </w:tc>
        <w:tc>
          <w:tcPr>
            <w:tcW w:w="981" w:type="pct"/>
          </w:tcPr>
          <w:p w:rsidR="00451732" w:rsidRPr="007653EA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48</w:t>
            </w: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Регулятивные действия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Коммуникативные действия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Достигли базового уровня (включая повышенный) </w:t>
            </w:r>
          </w:p>
        </w:tc>
        <w:tc>
          <w:tcPr>
            <w:tcW w:w="1027" w:type="pct"/>
          </w:tcPr>
          <w:p w:rsidR="00451732" w:rsidRPr="007653EA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121</w:t>
            </w:r>
          </w:p>
        </w:tc>
        <w:tc>
          <w:tcPr>
            <w:tcW w:w="1067" w:type="pct"/>
          </w:tcPr>
          <w:p w:rsidR="00451732" w:rsidRPr="007653EA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14</w:t>
            </w:r>
          </w:p>
        </w:tc>
        <w:tc>
          <w:tcPr>
            <w:tcW w:w="981" w:type="pct"/>
          </w:tcPr>
          <w:p w:rsidR="00451732" w:rsidRPr="007653EA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16</w:t>
            </w: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Повышенный уровень</w:t>
            </w:r>
          </w:p>
        </w:tc>
        <w:tc>
          <w:tcPr>
            <w:tcW w:w="1027" w:type="pct"/>
          </w:tcPr>
          <w:p w:rsidR="00451732" w:rsidRPr="007653EA" w:rsidRDefault="00A440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40</w:t>
            </w:r>
          </w:p>
        </w:tc>
        <w:tc>
          <w:tcPr>
            <w:tcW w:w="1067" w:type="pct"/>
          </w:tcPr>
          <w:p w:rsidR="00451732" w:rsidRPr="007653EA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7</w:t>
            </w:r>
          </w:p>
        </w:tc>
        <w:tc>
          <w:tcPr>
            <w:tcW w:w="981" w:type="pct"/>
          </w:tcPr>
          <w:p w:rsidR="00451732" w:rsidRPr="007653EA" w:rsidRDefault="00155E2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8</w:t>
            </w:r>
          </w:p>
        </w:tc>
      </w:tr>
    </w:tbl>
    <w:p w:rsidR="002608F6" w:rsidRDefault="002608F6"/>
    <w:sectPr w:rsidR="002608F6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451732"/>
    <w:rsid w:val="00155E22"/>
    <w:rsid w:val="001E3160"/>
    <w:rsid w:val="002608F6"/>
    <w:rsid w:val="003576C8"/>
    <w:rsid w:val="00367CDE"/>
    <w:rsid w:val="00451732"/>
    <w:rsid w:val="00546AE2"/>
    <w:rsid w:val="00561AFE"/>
    <w:rsid w:val="007F25E9"/>
    <w:rsid w:val="008D7012"/>
    <w:rsid w:val="00972390"/>
    <w:rsid w:val="00A1090C"/>
    <w:rsid w:val="00A440B9"/>
    <w:rsid w:val="00C46132"/>
    <w:rsid w:val="00C665AE"/>
    <w:rsid w:val="00CD53B7"/>
    <w:rsid w:val="00D60E5B"/>
    <w:rsid w:val="00D6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4C0E1-0E90-4689-9901-4876B8E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1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АХЧ</cp:lastModifiedBy>
  <cp:revision>12</cp:revision>
  <dcterms:created xsi:type="dcterms:W3CDTF">2022-04-14T10:52:00Z</dcterms:created>
  <dcterms:modified xsi:type="dcterms:W3CDTF">2023-04-27T13:03:00Z</dcterms:modified>
</cp:coreProperties>
</file>